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6658A" w14:textId="28D046D4" w:rsidR="000E67C6" w:rsidRDefault="000E67C6">
      <w:pPr>
        <w:jc w:val="center"/>
        <w:rPr>
          <w:lang w:eastAsia="lt-LT"/>
        </w:rPr>
      </w:pPr>
    </w:p>
    <w:p w14:paraId="7856658B" w14:textId="77777777" w:rsidR="000E67C6" w:rsidRDefault="009F27EB">
      <w:pPr>
        <w:jc w:val="center"/>
        <w:rPr>
          <w:b/>
          <w:bCs/>
          <w:sz w:val="28"/>
          <w:szCs w:val="28"/>
        </w:rPr>
      </w:pPr>
      <w:r>
        <w:rPr>
          <w:b/>
          <w:bCs/>
          <w:sz w:val="28"/>
          <w:szCs w:val="28"/>
        </w:rPr>
        <w:t>SKUODO RAJONO SAVIVALDYBĖS TARYBA</w:t>
      </w:r>
    </w:p>
    <w:p w14:paraId="7856658C" w14:textId="77777777" w:rsidR="000E67C6" w:rsidRDefault="000E67C6">
      <w:pPr>
        <w:jc w:val="center"/>
        <w:rPr>
          <w:b/>
          <w:bCs/>
          <w:color w:val="000000"/>
          <w:sz w:val="28"/>
          <w:szCs w:val="28"/>
        </w:rPr>
      </w:pPr>
    </w:p>
    <w:p w14:paraId="7856658D" w14:textId="77777777" w:rsidR="000E67C6" w:rsidRDefault="009F27EB">
      <w:pPr>
        <w:jc w:val="center"/>
        <w:rPr>
          <w:b/>
          <w:bCs/>
          <w:color w:val="000000"/>
        </w:rPr>
      </w:pPr>
      <w:r>
        <w:rPr>
          <w:b/>
          <w:bCs/>
          <w:color w:val="000000"/>
        </w:rPr>
        <w:t>SPRENDIMAS</w:t>
      </w:r>
    </w:p>
    <w:p w14:paraId="7856658E" w14:textId="77777777" w:rsidR="000E67C6" w:rsidRDefault="009F27EB">
      <w:pPr>
        <w:jc w:val="center"/>
        <w:rPr>
          <w:b/>
          <w:bCs/>
          <w:color w:val="000000"/>
        </w:rPr>
      </w:pPr>
      <w:r>
        <w:rPr>
          <w:b/>
        </w:rPr>
        <w:t>DĖL ŽEMĖS NUOMOS MOKESČIO UŽ VALSTYBINĘ ŽEMĘ TARIFŲ IR LENGVATŲ NUSTATYMO 2024–2025 METAMS</w:t>
      </w:r>
    </w:p>
    <w:p w14:paraId="7856658F" w14:textId="77777777" w:rsidR="000E67C6" w:rsidRDefault="000E67C6">
      <w:pPr>
        <w:jc w:val="center"/>
        <w:rPr>
          <w:b/>
          <w:bCs/>
          <w:color w:val="000000"/>
        </w:rPr>
      </w:pPr>
    </w:p>
    <w:p w14:paraId="78566590" w14:textId="77777777" w:rsidR="000E67C6" w:rsidRDefault="009F27EB">
      <w:pPr>
        <w:jc w:val="center"/>
      </w:pPr>
      <w:r>
        <w:t xml:space="preserve">2024 m. birželio 27 d. </w:t>
      </w:r>
      <w:r>
        <w:rPr>
          <w:color w:val="000000"/>
        </w:rPr>
        <w:t>Nr. T9-127</w:t>
      </w:r>
    </w:p>
    <w:p w14:paraId="78566591" w14:textId="77777777" w:rsidR="000E67C6" w:rsidRDefault="009F27EB">
      <w:pPr>
        <w:jc w:val="center"/>
        <w:rPr>
          <w:color w:val="000000"/>
        </w:rPr>
      </w:pPr>
      <w:r>
        <w:rPr>
          <w:color w:val="000000"/>
        </w:rPr>
        <w:t>Skuodas</w:t>
      </w:r>
    </w:p>
    <w:p w14:paraId="78566592" w14:textId="77777777" w:rsidR="000E67C6" w:rsidRDefault="000E67C6">
      <w:pPr>
        <w:jc w:val="center"/>
        <w:rPr>
          <w:color w:val="000000"/>
        </w:rPr>
      </w:pPr>
    </w:p>
    <w:p w14:paraId="78566593" w14:textId="77777777" w:rsidR="000E67C6" w:rsidRDefault="009F27EB">
      <w:pPr>
        <w:jc w:val="both"/>
      </w:pPr>
      <w:r>
        <w:tab/>
      </w:r>
    </w:p>
    <w:p w14:paraId="78566594" w14:textId="77777777" w:rsidR="000E67C6" w:rsidRDefault="009F27EB">
      <w:pPr>
        <w:tabs>
          <w:tab w:val="left" w:pos="1560"/>
        </w:tabs>
        <w:ind w:firstLine="851"/>
        <w:jc w:val="both"/>
      </w:pPr>
      <w:r>
        <w:t>Vadovaudamasi Lietuvos Respublikos vietos savivaldos įstatymo 15 straipsnio 2 dalies 14 ir 29 punktais, Lietuvos Respublikos Vyriausybės 2002 m. lapkričio 19 d. nutarimo Nr. 1798 „</w:t>
      </w:r>
      <w:r>
        <w:rPr>
          <w:color w:val="000000"/>
        </w:rPr>
        <w:t xml:space="preserve">Dėl nuomos mokesčio ir žemės nuomos mokesčio priedo už valstybinę žemę“ 1.3, 1.4, 1.8 papunkčiais, Lietuvos Respublikos Vyriausybės 2003 m. lapkričio 10 d. nutarimo Nr. 1387 „Dėl žemės nuomos mokesčio už valstybinės žemės sklypų naudojimą“ 2, 3 ir 8 punktais ir Lietuvos Respublikos </w:t>
      </w:r>
      <w:r>
        <w:t xml:space="preserve">Vyriausybės 1999 m. vasario 24 d. nutarimo Nr. 205 „Dėl žemės įvertinimo tvarkos“ 5.2 ir 5.4 papunkčiais, Skuodo rajono savivaldybės taryba </w:t>
      </w:r>
      <w:r>
        <w:rPr>
          <w:spacing w:val="40"/>
        </w:rPr>
        <w:t>nusprendži</w:t>
      </w:r>
      <w:r>
        <w:t>a:</w:t>
      </w:r>
    </w:p>
    <w:p w14:paraId="78566595" w14:textId="77777777" w:rsidR="000E67C6" w:rsidRDefault="009F27EB">
      <w:pPr>
        <w:tabs>
          <w:tab w:val="left" w:pos="1560"/>
        </w:tabs>
        <w:ind w:firstLine="851"/>
        <w:jc w:val="both"/>
      </w:pPr>
      <w:r>
        <w:t>1. Nustatyti:</w:t>
      </w:r>
    </w:p>
    <w:p w14:paraId="78566596" w14:textId="77777777" w:rsidR="000E67C6" w:rsidRDefault="009F27EB">
      <w:pPr>
        <w:tabs>
          <w:tab w:val="left" w:pos="1560"/>
        </w:tabs>
        <w:ind w:firstLine="851"/>
        <w:jc w:val="both"/>
      </w:pPr>
      <w:r>
        <w:t>1.1. Valstybinės žemės, išnuomotos ne aukciono būdu, nuomos mokesčio tarifus 2024–2025 metams, kai sudaryta valstybinės žemės nuomos sutartis ir ji įregistruota nustatyta tvarka (procentais nuo vidutinės rinkos vertės, apskaičiuotos pagal einamųjų metų sausio 1 d. taikytus žemės verčių  žemėlapius):</w:t>
      </w:r>
    </w:p>
    <w:p w14:paraId="78566597" w14:textId="77777777" w:rsidR="000E67C6" w:rsidRDefault="009F27EB">
      <w:pPr>
        <w:tabs>
          <w:tab w:val="left" w:pos="1560"/>
        </w:tabs>
        <w:ind w:firstLine="851"/>
        <w:jc w:val="both"/>
      </w:pPr>
      <w:r>
        <w:t>1.1.1. už žemės ūkio paskirties žemę – 1,2 proc.;</w:t>
      </w:r>
    </w:p>
    <w:p w14:paraId="78566598" w14:textId="77777777" w:rsidR="000E67C6" w:rsidRDefault="009F27EB">
      <w:pPr>
        <w:tabs>
          <w:tab w:val="left" w:pos="1560"/>
        </w:tabs>
        <w:ind w:firstLine="851"/>
        <w:jc w:val="both"/>
      </w:pPr>
      <w:r>
        <w:t>1.1.2. už komercinės ir kitos paskirties žemę – 0,6 proc.;</w:t>
      </w:r>
    </w:p>
    <w:p w14:paraId="78566599" w14:textId="77777777" w:rsidR="000E67C6" w:rsidRDefault="009F27EB">
      <w:pPr>
        <w:tabs>
          <w:tab w:val="left" w:pos="1560"/>
        </w:tabs>
        <w:ind w:firstLine="851"/>
        <w:jc w:val="both"/>
      </w:pPr>
      <w:r>
        <w:t xml:space="preserve">1.1.3. </w:t>
      </w:r>
      <w:r>
        <w:rPr>
          <w:color w:val="000000"/>
        </w:rPr>
        <w:t>už individualių garažų ir garažų bendrijų žemę – 0,5 proc.;</w:t>
      </w:r>
    </w:p>
    <w:p w14:paraId="7856659A" w14:textId="77777777" w:rsidR="000E67C6" w:rsidRDefault="009F27EB">
      <w:pPr>
        <w:tabs>
          <w:tab w:val="left" w:pos="1560"/>
        </w:tabs>
        <w:ind w:firstLine="851"/>
        <w:jc w:val="both"/>
      </w:pPr>
      <w:r>
        <w:rPr>
          <w:color w:val="000000"/>
        </w:rPr>
        <w:t>1.1.4. už pramonės ir sandėliavimo žemę – 0,5 proc.;</w:t>
      </w:r>
    </w:p>
    <w:p w14:paraId="7856659B" w14:textId="77777777" w:rsidR="000E67C6" w:rsidRDefault="009F27EB">
      <w:pPr>
        <w:tabs>
          <w:tab w:val="left" w:pos="1560"/>
        </w:tabs>
        <w:ind w:firstLine="851"/>
        <w:jc w:val="both"/>
      </w:pPr>
      <w:r>
        <w:rPr>
          <w:color w:val="000000"/>
        </w:rPr>
        <w:t>1.1.5. už gyvenamųjų teritorijų žemės sklypų žemę – 0,95 proc.;</w:t>
      </w:r>
    </w:p>
    <w:p w14:paraId="7856659C" w14:textId="77777777" w:rsidR="000E67C6" w:rsidRDefault="009F27EB">
      <w:pPr>
        <w:tabs>
          <w:tab w:val="left" w:pos="1560"/>
        </w:tabs>
        <w:ind w:firstLine="851"/>
        <w:jc w:val="both"/>
      </w:pPr>
      <w:r>
        <w:rPr>
          <w:color w:val="000000"/>
        </w:rPr>
        <w:t>1.1.6. už bendrojo naudojimo mėgėjų sodo ir sodininkų bendrijų žemę – 0,6 proc.;</w:t>
      </w:r>
    </w:p>
    <w:p w14:paraId="7856659D" w14:textId="77777777" w:rsidR="000E67C6" w:rsidRDefault="009F27EB">
      <w:pPr>
        <w:tabs>
          <w:tab w:val="left" w:pos="1560"/>
        </w:tabs>
        <w:ind w:firstLine="851"/>
        <w:jc w:val="both"/>
      </w:pPr>
      <w:r>
        <w:rPr>
          <w:color w:val="000000"/>
        </w:rPr>
        <w:t>1.1.7. už nenaudojamus ir apleistus žemės sklypus – 4 proc.</w:t>
      </w:r>
    </w:p>
    <w:p w14:paraId="7856659E" w14:textId="77777777" w:rsidR="000E67C6" w:rsidRDefault="009F27EB">
      <w:pPr>
        <w:tabs>
          <w:tab w:val="left" w:pos="1560"/>
        </w:tabs>
        <w:ind w:firstLine="851"/>
        <w:jc w:val="both"/>
      </w:pPr>
      <w:r>
        <w:t>1.2. Valstybinės žemės, naudojamos nesudarius nuomos sutarties, arba jei valstybinės žemės nuomos sutartis neįregistruota nustatyta tvarka, nuomos mokesčio tarifus 2024–2025 metams (procentais nuo vidutinės rinkos vertės, apskaičiuotos pagal einamųjų metų sausio 1 d. taikytus žemės verčių  žemėlapius):</w:t>
      </w:r>
    </w:p>
    <w:p w14:paraId="7856659F" w14:textId="77777777" w:rsidR="000E67C6" w:rsidRDefault="009F27EB">
      <w:pPr>
        <w:tabs>
          <w:tab w:val="left" w:pos="1560"/>
        </w:tabs>
        <w:ind w:firstLine="851"/>
        <w:jc w:val="both"/>
      </w:pPr>
      <w:r>
        <w:t>1.2.1. už žemės ūkio paskirties žemę – 1,7 proc.;</w:t>
      </w:r>
    </w:p>
    <w:p w14:paraId="785665A0" w14:textId="77777777" w:rsidR="000E67C6" w:rsidRDefault="009F27EB">
      <w:pPr>
        <w:tabs>
          <w:tab w:val="left" w:pos="1560"/>
        </w:tabs>
        <w:ind w:firstLine="851"/>
        <w:jc w:val="both"/>
      </w:pPr>
      <w:r>
        <w:t>1.2.2. už komercinės ir kitos paskirties žemę – 1,1 proc.;</w:t>
      </w:r>
    </w:p>
    <w:p w14:paraId="785665A1" w14:textId="77777777" w:rsidR="000E67C6" w:rsidRDefault="009F27EB">
      <w:pPr>
        <w:tabs>
          <w:tab w:val="left" w:pos="1560"/>
        </w:tabs>
        <w:ind w:firstLine="851"/>
        <w:jc w:val="both"/>
      </w:pPr>
      <w:r>
        <w:t xml:space="preserve">1.2.3. </w:t>
      </w:r>
      <w:r>
        <w:rPr>
          <w:color w:val="000000"/>
        </w:rPr>
        <w:t>už individualių garažų ir garažų bendrijų žemę – 1,0 proc.;</w:t>
      </w:r>
    </w:p>
    <w:p w14:paraId="785665A2" w14:textId="77777777" w:rsidR="000E67C6" w:rsidRDefault="009F27EB">
      <w:pPr>
        <w:tabs>
          <w:tab w:val="left" w:pos="1560"/>
        </w:tabs>
        <w:ind w:firstLine="851"/>
        <w:jc w:val="both"/>
        <w:rPr>
          <w:color w:val="000000"/>
        </w:rPr>
      </w:pPr>
      <w:r>
        <w:rPr>
          <w:color w:val="000000"/>
        </w:rPr>
        <w:t>1.2.4. už pramonės ir sandėliavimo žemę – 1,0 proc.;</w:t>
      </w:r>
    </w:p>
    <w:p w14:paraId="785665A3" w14:textId="77777777" w:rsidR="000E67C6" w:rsidRDefault="009F27EB">
      <w:pPr>
        <w:tabs>
          <w:tab w:val="left" w:pos="1560"/>
        </w:tabs>
        <w:ind w:firstLine="851"/>
        <w:jc w:val="both"/>
        <w:rPr>
          <w:color w:val="000000"/>
        </w:rPr>
      </w:pPr>
      <w:r>
        <w:rPr>
          <w:color w:val="000000"/>
        </w:rPr>
        <w:t>1.2.5. už gyvenamųjų teritorijų žemės sklypų žemę – 1,45 proc.;</w:t>
      </w:r>
    </w:p>
    <w:p w14:paraId="785665A4" w14:textId="77777777" w:rsidR="000E67C6" w:rsidRDefault="009F27EB">
      <w:pPr>
        <w:tabs>
          <w:tab w:val="left" w:pos="1560"/>
        </w:tabs>
        <w:ind w:firstLine="851"/>
        <w:jc w:val="both"/>
        <w:rPr>
          <w:color w:val="000000"/>
        </w:rPr>
      </w:pPr>
      <w:r>
        <w:rPr>
          <w:color w:val="000000"/>
        </w:rPr>
        <w:t>1.2.6. už bendrojo naudojimo mėgėjų sodo ir sodininkų bendrijų žemę – 1,1 proc.;</w:t>
      </w:r>
    </w:p>
    <w:p w14:paraId="785665A5" w14:textId="77777777" w:rsidR="000E67C6" w:rsidRDefault="009F27EB">
      <w:pPr>
        <w:tabs>
          <w:tab w:val="left" w:pos="1560"/>
        </w:tabs>
        <w:ind w:firstLine="851"/>
        <w:jc w:val="both"/>
        <w:rPr>
          <w:color w:val="000000"/>
        </w:rPr>
      </w:pPr>
      <w:r>
        <w:rPr>
          <w:color w:val="000000"/>
        </w:rPr>
        <w:t>1.2.7. už nenaudojamus ir apleistus žemės sklypus – 4 proc.</w:t>
      </w:r>
    </w:p>
    <w:p w14:paraId="785665A6" w14:textId="77777777" w:rsidR="000E67C6" w:rsidRDefault="009F27EB">
      <w:pPr>
        <w:ind w:firstLine="851"/>
        <w:jc w:val="both"/>
        <w:rPr>
          <w:color w:val="000000"/>
        </w:rPr>
      </w:pPr>
      <w:r>
        <w:rPr>
          <w:color w:val="000000"/>
        </w:rPr>
        <w:t>1.3. Jei valstybinė žemė išnuomojama aukciono būdu, žemės nuomos mokesčio dydis yra lygus aukciono metu pasiūlytam didžiausiam nuomos mokesčiui. Aukcione išnuomojamų valstybinės žemės sklypų pradinis metinis žemės nuomos mokestis apskaičiuojamas pagal 1.1 papunktyje nurodytus valstybinės žemės, išnuomotos ne aukciono būdu, nuomos mokesčio tarifus.</w:t>
      </w:r>
    </w:p>
    <w:p w14:paraId="785665A7" w14:textId="77777777" w:rsidR="000E67C6" w:rsidRDefault="009F27EB">
      <w:pPr>
        <w:tabs>
          <w:tab w:val="left" w:pos="1560"/>
        </w:tabs>
        <w:ind w:firstLine="851"/>
        <w:jc w:val="both"/>
        <w:rPr>
          <w:strike/>
        </w:rPr>
      </w:pPr>
      <w:r>
        <w:t>1</w:t>
      </w:r>
      <w:r>
        <w:rPr>
          <w:strike/>
        </w:rPr>
        <w:t>.4. Valstybinės žemės, išnuomotos ne aukciono būdu, neapmokestinamus žemės sklypų dydžius:</w:t>
      </w:r>
    </w:p>
    <w:p w14:paraId="785665A8" w14:textId="77777777" w:rsidR="000E67C6" w:rsidRDefault="009F27EB">
      <w:pPr>
        <w:tabs>
          <w:tab w:val="left" w:pos="1560"/>
        </w:tabs>
        <w:ind w:firstLine="851"/>
        <w:jc w:val="both"/>
        <w:rPr>
          <w:strike/>
        </w:rPr>
      </w:pPr>
      <w:r>
        <w:rPr>
          <w:strike/>
        </w:rPr>
        <w:t>1.4.1. kaimo vietovėje – ne daugiau kaip 2,0 ha  žemės;</w:t>
      </w:r>
    </w:p>
    <w:p w14:paraId="785665A9" w14:textId="77777777" w:rsidR="000E67C6" w:rsidRDefault="009F27EB">
      <w:pPr>
        <w:tabs>
          <w:tab w:val="left" w:pos="1560"/>
        </w:tabs>
        <w:ind w:firstLine="851"/>
        <w:jc w:val="both"/>
        <w:rPr>
          <w:strike/>
        </w:rPr>
      </w:pPr>
      <w:r>
        <w:rPr>
          <w:strike/>
        </w:rPr>
        <w:t>1.4.2. miesto teritorijoje – ne daugiau kaip 0,20 ha žemės.</w:t>
      </w:r>
    </w:p>
    <w:p w14:paraId="785665AA" w14:textId="77777777" w:rsidR="000E67C6" w:rsidRDefault="009F27EB">
      <w:pPr>
        <w:tabs>
          <w:tab w:val="left" w:pos="1560"/>
        </w:tabs>
        <w:ind w:firstLine="851"/>
        <w:jc w:val="both"/>
      </w:pPr>
      <w:r>
        <w:t xml:space="preserve">2. </w:t>
      </w:r>
      <w:r>
        <w:rPr>
          <w:strike/>
        </w:rPr>
        <w:t>Taikyti sprendimo 1.4 papunktyje nustatytus neapmokestinamus žemės sklypų dydžius fiziniams asmenims:</w:t>
      </w:r>
    </w:p>
    <w:p w14:paraId="785665AB" w14:textId="77777777" w:rsidR="000E67C6" w:rsidRDefault="009F27EB">
      <w:pPr>
        <w:tabs>
          <w:tab w:val="left" w:pos="1560"/>
        </w:tabs>
        <w:ind w:firstLine="851"/>
        <w:jc w:val="both"/>
        <w:rPr>
          <w:strike/>
        </w:rPr>
      </w:pPr>
      <w:r>
        <w:rPr>
          <w:strike/>
        </w:rPr>
        <w:t>2.1. kuriems nustatytas 0–40 proc. darbingumo lygis (I ir II grupės neįgaliems asmenims);</w:t>
      </w:r>
    </w:p>
    <w:p w14:paraId="785665AC" w14:textId="77777777" w:rsidR="000E67C6" w:rsidRDefault="009F27EB">
      <w:pPr>
        <w:tabs>
          <w:tab w:val="left" w:pos="1560"/>
        </w:tabs>
        <w:ind w:firstLine="851"/>
        <w:jc w:val="both"/>
        <w:rPr>
          <w:strike/>
        </w:rPr>
      </w:pPr>
      <w:r>
        <w:rPr>
          <w:strike/>
        </w:rPr>
        <w:lastRenderedPageBreak/>
        <w:t>2.2. kurie yra sulaukę senatvės pensijos amžiaus;</w:t>
      </w:r>
    </w:p>
    <w:p w14:paraId="785665AD" w14:textId="77777777" w:rsidR="000E67C6" w:rsidRDefault="009F27EB">
      <w:pPr>
        <w:tabs>
          <w:tab w:val="left" w:pos="1560"/>
        </w:tabs>
        <w:ind w:firstLine="851"/>
        <w:jc w:val="both"/>
        <w:rPr>
          <w:strike/>
        </w:rPr>
      </w:pPr>
      <w:r>
        <w:rPr>
          <w:strike/>
        </w:rPr>
        <w:t>2.3. kurie yra nepilnamečiai asmenys.</w:t>
      </w:r>
    </w:p>
    <w:p w14:paraId="785665AE" w14:textId="77777777" w:rsidR="000E67C6" w:rsidRDefault="009F27EB">
      <w:pPr>
        <w:tabs>
          <w:tab w:val="left" w:pos="1560"/>
        </w:tabs>
        <w:ind w:firstLine="851"/>
        <w:jc w:val="both"/>
        <w:rPr>
          <w:strike/>
        </w:rPr>
      </w:pPr>
      <w:r>
        <w:rPr>
          <w:strike/>
        </w:rPr>
        <w:t>3. Nustatyti, kad visas valstybinės žemės nuomos mokestis pradedamas skaičiuoti, kai turimas žemės plotas viršija šio sprendimo 1.4 papunktyje nustatytas ribas.</w:t>
      </w:r>
    </w:p>
    <w:p w14:paraId="785665AF" w14:textId="77777777" w:rsidR="000E67C6" w:rsidRDefault="009F27EB">
      <w:pPr>
        <w:tabs>
          <w:tab w:val="left" w:pos="1560"/>
        </w:tabs>
        <w:ind w:firstLine="851"/>
        <w:jc w:val="both"/>
      </w:pPr>
      <w:r>
        <w:t>4. Atleisti nuo valstybinės žemės nuomos mokesčio šiuos mokėtojus:</w:t>
      </w:r>
    </w:p>
    <w:p w14:paraId="785665B0" w14:textId="77777777" w:rsidR="000E67C6" w:rsidRDefault="009F27EB">
      <w:pPr>
        <w:tabs>
          <w:tab w:val="left" w:pos="1560"/>
        </w:tabs>
        <w:ind w:firstLine="851"/>
        <w:jc w:val="both"/>
      </w:pPr>
      <w:r>
        <w:t>4.1. kuriems nuomos mokesčio ir delspinigių skolos suma neviršija  2,00 Eur;</w:t>
      </w:r>
    </w:p>
    <w:p w14:paraId="785665B1" w14:textId="77777777" w:rsidR="000E67C6" w:rsidRDefault="009F27EB">
      <w:pPr>
        <w:tabs>
          <w:tab w:val="left" w:pos="1560"/>
        </w:tabs>
        <w:ind w:firstLine="851"/>
        <w:jc w:val="both"/>
      </w:pPr>
      <w:r>
        <w:t>4.2. biudžetines įstaigas, veikiančias pagal Lietuvos Respublikos biudžetinių įstaigų įstatymą;</w:t>
      </w:r>
    </w:p>
    <w:p w14:paraId="785665B2" w14:textId="77777777" w:rsidR="000E67C6" w:rsidRDefault="009F27EB">
      <w:pPr>
        <w:tabs>
          <w:tab w:val="left" w:pos="1560"/>
        </w:tabs>
        <w:ind w:firstLine="851"/>
        <w:jc w:val="both"/>
      </w:pPr>
      <w:r>
        <w:t>4.3. viešąsias įstaigas, kurių steigėja yra Skuodo rajono savivaldybė;</w:t>
      </w:r>
    </w:p>
    <w:p w14:paraId="785665B3" w14:textId="77777777" w:rsidR="000E67C6" w:rsidRDefault="009F27EB">
      <w:pPr>
        <w:tabs>
          <w:tab w:val="left" w:pos="1560"/>
        </w:tabs>
        <w:ind w:firstLine="851"/>
        <w:jc w:val="both"/>
      </w:pPr>
      <w:r>
        <w:t>4.4. bendruomenes, veikiančias pagal Lietuvos Respublikos asociacijų įstatymą;</w:t>
      </w:r>
    </w:p>
    <w:p w14:paraId="785665B4" w14:textId="77777777" w:rsidR="000E67C6" w:rsidRDefault="009F27EB">
      <w:pPr>
        <w:tabs>
          <w:tab w:val="left" w:pos="1560"/>
        </w:tabs>
        <w:ind w:firstLine="851"/>
        <w:jc w:val="both"/>
      </w:pPr>
      <w:r>
        <w:t xml:space="preserve">4.5. Skuodo rajono savivaldybei nuosavybės teise priklausančius socialinius ir savivaldybės būstus. </w:t>
      </w:r>
    </w:p>
    <w:p w14:paraId="785665B5" w14:textId="77777777" w:rsidR="000E67C6" w:rsidRDefault="009F27EB">
      <w:pPr>
        <w:tabs>
          <w:tab w:val="left" w:pos="1560"/>
        </w:tabs>
        <w:ind w:firstLine="851"/>
        <w:jc w:val="both"/>
      </w:pPr>
      <w:r>
        <w:t>5. Netaikyti nuomos mokesčio už valstybinę žemę lengvatų asmenims, nesumokėjusiems žemės nuomos mokesčio įmokų už ankstesnius laikotarpius.</w:t>
      </w:r>
    </w:p>
    <w:p w14:paraId="785665B6" w14:textId="77777777" w:rsidR="000E67C6" w:rsidRDefault="000E67C6">
      <w:pPr>
        <w:ind w:firstLine="1247"/>
        <w:jc w:val="both"/>
      </w:pPr>
    </w:p>
    <w:p w14:paraId="785665B7" w14:textId="77777777" w:rsidR="000E67C6" w:rsidRDefault="000E67C6">
      <w:pPr>
        <w:jc w:val="both"/>
      </w:pPr>
    </w:p>
    <w:p w14:paraId="785665B8" w14:textId="77777777" w:rsidR="000E67C6" w:rsidRDefault="000E67C6">
      <w:pPr>
        <w:jc w:val="both"/>
      </w:pPr>
    </w:p>
    <w:p w14:paraId="785665B9" w14:textId="77777777" w:rsidR="000E67C6" w:rsidRDefault="000E67C6">
      <w:pPr>
        <w:jc w:val="both"/>
      </w:pPr>
    </w:p>
    <w:p w14:paraId="785665BA" w14:textId="77777777" w:rsidR="000E67C6" w:rsidRDefault="009F27EB">
      <w:pPr>
        <w:tabs>
          <w:tab w:val="right" w:pos="9639"/>
        </w:tabs>
      </w:pPr>
      <w:r>
        <w:t>Savivaldybės meras</w:t>
      </w:r>
      <w:r>
        <w:tab/>
      </w:r>
    </w:p>
    <w:p w14:paraId="785665BB" w14:textId="77777777" w:rsidR="000E67C6" w:rsidRDefault="000E67C6">
      <w:pPr>
        <w:jc w:val="both"/>
      </w:pPr>
    </w:p>
    <w:p w14:paraId="785665BC" w14:textId="77777777" w:rsidR="000E67C6" w:rsidRDefault="000E67C6">
      <w:pPr>
        <w:jc w:val="both"/>
      </w:pPr>
    </w:p>
    <w:sectPr w:rsidR="000E67C6">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24B4C" w14:textId="77777777" w:rsidR="00F6472A" w:rsidRDefault="00F6472A">
      <w:r>
        <w:separator/>
      </w:r>
    </w:p>
  </w:endnote>
  <w:endnote w:type="continuationSeparator" w:id="0">
    <w:p w14:paraId="212120E2" w14:textId="77777777" w:rsidR="00F6472A" w:rsidRDefault="00F6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7FD87" w14:textId="77777777" w:rsidR="00245332" w:rsidRDefault="0024533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43A75" w14:textId="77777777" w:rsidR="00245332" w:rsidRDefault="0024533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9AE60" w14:textId="77777777" w:rsidR="00245332" w:rsidRDefault="0024533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04B93" w14:textId="77777777" w:rsidR="00F6472A" w:rsidRDefault="00F6472A">
      <w:r>
        <w:separator/>
      </w:r>
    </w:p>
  </w:footnote>
  <w:footnote w:type="continuationSeparator" w:id="0">
    <w:p w14:paraId="5FCD3FEE" w14:textId="77777777" w:rsidR="00F6472A" w:rsidRDefault="00F64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EB995" w14:textId="77777777" w:rsidR="00245332" w:rsidRDefault="0024533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665BF" w14:textId="77777777" w:rsidR="000E67C6" w:rsidRDefault="009F27EB">
    <w:pPr>
      <w:pStyle w:val="Antrats"/>
      <w:jc w:val="center"/>
    </w:pPr>
    <w:r>
      <w:fldChar w:fldCharType="begin"/>
    </w:r>
    <w:r>
      <w:instrText xml:space="preserve"> PAGE </w:instrText>
    </w:r>
    <w:r>
      <w:fldChar w:fldCharType="separate"/>
    </w:r>
    <w:r w:rsidR="00D4096B">
      <w:rPr>
        <w:noProof/>
      </w:rPr>
      <w:t>2</w:t>
    </w:r>
    <w:r>
      <w:fldChar w:fldCharType="end"/>
    </w:r>
  </w:p>
  <w:p w14:paraId="785665C0" w14:textId="77777777" w:rsidR="000E67C6" w:rsidRDefault="000E67C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665C1" w14:textId="77777777" w:rsidR="000E67C6" w:rsidRDefault="009F27EB">
    <w:pPr>
      <w:pStyle w:val="Antrats"/>
      <w:jc w:val="right"/>
      <w:rPr>
        <w:b/>
        <w:bCs/>
        <w:i/>
        <w:iCs/>
      </w:rPr>
    </w:pPr>
    <w:r>
      <w:rPr>
        <w:b/>
        <w:bCs/>
        <w:i/>
        <w:iCs/>
      </w:rPr>
      <w:t>Lyginamasis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216A3"/>
    <w:multiLevelType w:val="multilevel"/>
    <w:tmpl w:val="665065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58108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7C6"/>
    <w:rsid w:val="000E67C6"/>
    <w:rsid w:val="00245332"/>
    <w:rsid w:val="00517B10"/>
    <w:rsid w:val="005F0A35"/>
    <w:rsid w:val="009F27EB"/>
    <w:rsid w:val="00AC6BEE"/>
    <w:rsid w:val="00D4096B"/>
    <w:rsid w:val="00DA327C"/>
    <w:rsid w:val="00F647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6658A"/>
  <w15:docId w15:val="{1C9120BD-8DA1-4A44-9D71-8351A827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color w:val="00000A"/>
      <w:lang w:bidi="ar-SA"/>
    </w:rPr>
  </w:style>
  <w:style w:type="paragraph" w:styleId="Antrat5">
    <w:name w:val="heading 5"/>
    <w:basedOn w:val="prastasis"/>
    <w:next w:val="Pagrindinistekstas"/>
    <w:uiPriority w:val="9"/>
    <w:semiHidden/>
    <w:unhideWhenUsed/>
    <w:qFormat/>
    <w:pPr>
      <w:keepNext/>
      <w:keepLines/>
      <w:numPr>
        <w:ilvl w:val="4"/>
        <w:numId w:val="1"/>
      </w:numPr>
      <w:spacing w:before="40" w:line="256"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qFormat/>
    <w:rPr>
      <w:sz w:val="24"/>
      <w:szCs w:val="24"/>
      <w:lang w:val="en-US"/>
    </w:rPr>
  </w:style>
  <w:style w:type="character" w:customStyle="1" w:styleId="LentelsNRDiagrama">
    <w:name w:val="Lentelės NR. Diagrama"/>
    <w:qFormat/>
    <w:rPr>
      <w:i/>
      <w:color w:val="BFBFBF"/>
      <w:sz w:val="24"/>
      <w:szCs w:val="24"/>
    </w:rPr>
  </w:style>
  <w:style w:type="character" w:customStyle="1" w:styleId="LentelsNrDiagrama0">
    <w:name w:val="Lentelės Nr. Diagrama"/>
    <w:qFormat/>
    <w:rPr>
      <w:i/>
      <w:sz w:val="24"/>
      <w:szCs w:val="24"/>
    </w:rPr>
  </w:style>
  <w:style w:type="character" w:customStyle="1" w:styleId="BBDPaveiksliukonumeracijaiDiagrama">
    <w:name w:val="BBD_Paveiksliuko numeracijai Diagrama"/>
    <w:qFormat/>
    <w:rPr>
      <w:rFonts w:ascii="Times New Roman" w:eastAsia="Times New Roman" w:hAnsi="Times New Roman" w:cs="Times New Roman"/>
      <w:i/>
      <w:color w:val="1F4D78"/>
      <w:sz w:val="20"/>
    </w:rPr>
  </w:style>
  <w:style w:type="character" w:customStyle="1" w:styleId="Antrat5Diagrama">
    <w:name w:val="Antraštė 5 Diagrama"/>
    <w:qFormat/>
    <w:rPr>
      <w:rFonts w:ascii="Calibri Light" w:eastAsia="Calibri Light" w:hAnsi="Calibri Light" w:cs="Calibri Light"/>
      <w:color w:val="2E74B5"/>
    </w:rPr>
  </w:style>
  <w:style w:type="character" w:customStyle="1" w:styleId="AntratsDiagrama">
    <w:name w:val="Antraštės Diagrama"/>
    <w:qFormat/>
    <w:rPr>
      <w:rFonts w:ascii="Times New Roman" w:eastAsia="Times New Roman" w:hAnsi="Times New Roman" w:cs="Times New Roman"/>
      <w:sz w:val="24"/>
      <w:szCs w:val="24"/>
    </w:rPr>
  </w:style>
  <w:style w:type="character" w:customStyle="1" w:styleId="PoratDiagrama">
    <w:name w:val="Poraštė Diagrama"/>
    <w:qFormat/>
    <w:rPr>
      <w:rFonts w:ascii="Times New Roman" w:eastAsia="Times New Roman" w:hAnsi="Times New Roman" w:cs="Times New Roman"/>
      <w:sz w:val="24"/>
      <w:szCs w:val="24"/>
    </w:rPr>
  </w:style>
  <w:style w:type="character" w:customStyle="1" w:styleId="DebesliotekstasDiagrama">
    <w:name w:val="Debesėlio tekstas Diagrama"/>
    <w:qFormat/>
    <w:rPr>
      <w:rFonts w:ascii="Segoe UI" w:eastAsia="Times New Roman" w:hAnsi="Segoe UI" w:cs="Segoe UI"/>
      <w:color w:val="00000A"/>
      <w:sz w:val="18"/>
      <w:szCs w:val="18"/>
    </w:rPr>
  </w:style>
  <w:style w:type="character" w:styleId="Komentaronuoroda">
    <w:name w:val="annotation reference"/>
    <w:qFormat/>
    <w:rPr>
      <w:sz w:val="16"/>
      <w:szCs w:val="16"/>
    </w:rPr>
  </w:style>
  <w:style w:type="character" w:customStyle="1" w:styleId="KomentarotekstasDiagrama">
    <w:name w:val="Komentaro tekstas Diagrama"/>
    <w:qFormat/>
    <w:rPr>
      <w:rFonts w:ascii="Times New Roman" w:eastAsia="Times New Roman" w:hAnsi="Times New Roman" w:cs="Times New Roman"/>
      <w:color w:val="00000A"/>
      <w:szCs w:val="20"/>
    </w:rPr>
  </w:style>
  <w:style w:type="character" w:customStyle="1" w:styleId="KomentarotemaDiagrama">
    <w:name w:val="Komentaro tema Diagrama"/>
    <w:qFormat/>
    <w:rPr>
      <w:rFonts w:ascii="Times New Roman" w:eastAsia="Times New Roman" w:hAnsi="Times New Roman" w:cs="Times New Roman"/>
      <w:b/>
      <w:bCs/>
      <w:color w:val="00000A"/>
      <w:szCs w:val="20"/>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next w:val="Pagrindinistekstas"/>
    <w:qFormat/>
    <w:pPr>
      <w:suppressLineNumbers/>
      <w:spacing w:before="120" w:after="120"/>
    </w:pPr>
    <w:rPr>
      <w:rFonts w:cs="Arial Unicode MS"/>
      <w:i/>
      <w:iCs/>
    </w:rPr>
  </w:style>
  <w:style w:type="paragraph" w:customStyle="1" w:styleId="Index">
    <w:name w:val="Index"/>
    <w:basedOn w:val="prastasis"/>
    <w:qFormat/>
    <w:pPr>
      <w:suppressLineNumbers/>
    </w:pPr>
    <w:rPr>
      <w:rFonts w:cs="Lucida Sans"/>
    </w:rPr>
  </w:style>
  <w:style w:type="paragraph" w:customStyle="1" w:styleId="Rodykl">
    <w:name w:val="Rodyklė"/>
    <w:basedOn w:val="prastasis"/>
    <w:qFormat/>
    <w:pPr>
      <w:suppressLineNumbers/>
    </w:pPr>
    <w:rPr>
      <w:rFonts w:cs="Arial Unicode MS"/>
    </w:rPr>
  </w:style>
  <w:style w:type="paragraph" w:styleId="Sraassunumeriais">
    <w:name w:val="List Number"/>
    <w:basedOn w:val="prastasis"/>
    <w:qFormat/>
    <w:pPr>
      <w:spacing w:after="160" w:line="256" w:lineRule="auto"/>
      <w:ind w:left="360" w:hanging="360"/>
      <w:contextualSpacing/>
    </w:pPr>
    <w:rPr>
      <w:rFonts w:ascii="Calibri" w:eastAsia="Calibri" w:hAnsi="Calibri" w:cs="Calibri"/>
      <w:sz w:val="22"/>
      <w:szCs w:val="22"/>
    </w:rPr>
  </w:style>
  <w:style w:type="paragraph" w:customStyle="1" w:styleId="PavNR">
    <w:name w:val="Pav NR"/>
    <w:basedOn w:val="Sraassunumeriais"/>
    <w:qFormat/>
    <w:pPr>
      <w:widowControl w:val="0"/>
      <w:spacing w:after="0" w:line="240" w:lineRule="atLeast"/>
      <w:jc w:val="center"/>
    </w:pPr>
    <w:rPr>
      <w:sz w:val="24"/>
      <w:szCs w:val="24"/>
      <w:lang w:val="en-US"/>
    </w:rPr>
  </w:style>
  <w:style w:type="paragraph" w:customStyle="1" w:styleId="LentelsNR">
    <w:name w:val="Lentelės NR."/>
    <w:basedOn w:val="prastasis"/>
    <w:qFormat/>
    <w:pPr>
      <w:widowControl w:val="0"/>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qFormat/>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qFormat/>
    <w:pPr>
      <w:numPr>
        <w:ilvl w:val="0"/>
        <w:numId w:val="0"/>
      </w:numPr>
      <w:spacing w:before="120" w:after="240" w:line="240" w:lineRule="auto"/>
      <w:ind w:left="1135" w:hanging="567"/>
      <w:jc w:val="center"/>
      <w:outlineLvl w:val="9"/>
    </w:pPr>
    <w:rPr>
      <w:rFonts w:ascii="Times New Roman" w:eastAsia="Times New Roman" w:hAnsi="Times New Roman" w:cs="Times New Roman"/>
      <w:i/>
      <w:color w:val="1F4D78"/>
      <w:sz w:val="20"/>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Porat">
    <w:name w:val="footer"/>
    <w:basedOn w:val="prastasis"/>
  </w:style>
  <w:style w:type="paragraph" w:styleId="Sraopastraipa">
    <w:name w:val="List Paragraph"/>
    <w:basedOn w:val="prastasis"/>
    <w:qFormat/>
    <w:pPr>
      <w:ind w:left="720"/>
      <w:contextualSpacing/>
    </w:pPr>
  </w:style>
  <w:style w:type="paragraph" w:styleId="Debesliotekstas">
    <w:name w:val="Balloon Text"/>
    <w:basedOn w:val="prastasis"/>
    <w:qFormat/>
    <w:rPr>
      <w:rFonts w:ascii="Segoe UI" w:hAnsi="Segoe UI" w:cs="Segoe UI"/>
      <w:sz w:val="18"/>
      <w:szCs w:val="18"/>
    </w:rPr>
  </w:style>
  <w:style w:type="paragraph" w:styleId="Komentarotekstas">
    <w:name w:val="annotation text"/>
    <w:basedOn w:val="prastasis"/>
    <w:qFormat/>
    <w:rPr>
      <w:sz w:val="20"/>
      <w:szCs w:val="20"/>
    </w:rPr>
  </w:style>
  <w:style w:type="paragraph" w:styleId="Komentarotema">
    <w:name w:val="annotation subject"/>
    <w:basedOn w:val="Komentarotekstas"/>
    <w:next w:val="Komentarotekstas"/>
    <w:qFormat/>
    <w:rPr>
      <w:b/>
      <w:bCs/>
    </w:rPr>
  </w:style>
  <w:style w:type="paragraph" w:styleId="Pataisymai">
    <w:name w:val="Revision"/>
    <w:qFormat/>
    <w:rPr>
      <w:rFonts w:ascii="Times New Roman" w:eastAsia="Times New Roman" w:hAnsi="Times New Roman" w:cs="Times New Roman"/>
      <w:color w:val="00000A"/>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2513</Words>
  <Characters>1433</Characters>
  <Application>Microsoft Office Word</Application>
  <DocSecurity>0</DocSecurity>
  <Lines>11</Lines>
  <Paragraphs>7</Paragraphs>
  <ScaleCrop>false</ScaleCrop>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ŽEMĖS NUOMOS MOKESČIO UŽ VALSTYBINĘ ŽEMĘ TARIFŲ IR LENGVATŲ NUSTATYMO 2024-2025 METAMS</dc:title>
  <dc:subject>T9-127</dc:subject>
  <dc:creator>SKUODO RAJONO SAVIVALDYBĖS TARYBA</dc:creator>
  <cp:lastModifiedBy>Sadauskienė, Dalia</cp:lastModifiedBy>
  <cp:revision>3</cp:revision>
  <cp:lastPrinted>2020-02-26T10:16:00Z</cp:lastPrinted>
  <dcterms:created xsi:type="dcterms:W3CDTF">2025-04-10T19:43:00Z</dcterms:created>
  <dcterms:modified xsi:type="dcterms:W3CDTF">2025-04-10T19:43:00Z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